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65DF6EE" Type="http://schemas.openxmlformats.org/officeDocument/2006/relationships/officeDocument" Target="/word/document.xml" /><Relationship Id="coreR265DF6E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spacing w:lineRule="auto" w:line="360" w:beforeAutospacing="0" w:afterAutospacing="0"/>
        <w:jc w:val="center"/>
        <w:rPr>
          <w:b w:val="1"/>
          <w:caps w:val="1"/>
        </w:rPr>
      </w:pPr>
      <w:r>
        <w:rPr>
          <w:b w:val="1"/>
          <w:caps w:val="1"/>
        </w:rPr>
        <w:t>uzasadnienie</w:t>
      </w:r>
    </w:p>
    <w:p>
      <w:pPr>
        <w:spacing w:lineRule="auto" w:line="259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Do sporządzenia zmiany nr 1 miejscowego planu zagospodarowania przestrzennego gminy Górno „Bęczków” (teren remizy OSP) przystąpiono w związku z uchwałą Nr XXIV/217/2020 Rady Gminy Górno z dnia 29 września 2020 r. w sprawie przystąpienia do sporządzenia zmiany Nr 1 miejscowego planu zagospodarowania przestrzennego gminy Górno „Bęczków”.</w:t>
      </w:r>
    </w:p>
    <w:p>
      <w:pPr>
        <w:spacing w:lineRule="auto" w:line="259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wyniku przeprowadzonej procedury, zgodnej z art. 17 ustawy o planowaniu i zagospodarowaniu przestrzennym (Dz. U. 2021 poz. 741 z późn. zm.), stworzono projekt miejscowego planu zagospodarowania przestrzennego, który przedstawiony został Radzie Gminy Górno do uchwalenia. </w:t>
      </w:r>
    </w:p>
    <w:p>
      <w:pPr>
        <w:spacing w:lineRule="auto" w:line="259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Celem sporządzenia planu miejscowego jest umożliwienie realizacji jednostki straży pożarnej. Plan określa zasady i warunki zagospodarowania, których realizacja przyczyni się do zachowania i kształtowania ładu przestrzennego.</w:t>
      </w:r>
    </w:p>
    <w:p>
      <w:pPr>
        <w:spacing w:lineRule="auto" w:line="259" w:after="0" w:beforeAutospacing="0" w:afterAutospacing="0"/>
        <w:ind w:firstLine="0"/>
        <w:rPr>
          <w:rFonts w:ascii="Times New Roman" w:hAnsi="Times New Roman"/>
          <w:b w:val="1"/>
          <w:color w:val="FF0000"/>
        </w:rPr>
      </w:pPr>
      <w:r>
        <w:rPr>
          <w:rFonts w:ascii="Times New Roman" w:hAnsi="Times New Roman"/>
          <w:b w:val="1"/>
          <w:color w:val="FF0000"/>
        </w:rPr>
        <w:tab/>
      </w:r>
    </w:p>
    <w:p>
      <w:pPr>
        <w:numPr>
          <w:ilvl w:val="0"/>
          <w:numId w:val="1"/>
        </w:numPr>
        <w:spacing w:lineRule="auto" w:line="259" w:beforeAutospacing="0" w:afterAutospacing="0"/>
        <w:contextualSpacing w:val="1"/>
        <w:jc w:val="left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przedmiotowe mpzp w odniesieniu do sposobu realizacji wymogów wynikających z art. 1 ust. 2–4 ustawy o planowaniu i zagospodarowaniu przestrzennym</w:t>
      </w:r>
    </w:p>
    <w:p>
      <w:pPr>
        <w:spacing w:lineRule="auto" w:line="259" w:after="0" w:beforeAutospacing="0" w:afterAutospacing="0"/>
        <w:ind w:firstLine="0"/>
        <w:rPr>
          <w:rFonts w:ascii="Times New Roman" w:hAnsi="Times New Roman"/>
          <w:b w:val="1"/>
          <w:color w:val="FF0000"/>
        </w:rPr>
      </w:pPr>
    </w:p>
    <w:p>
      <w:pPr>
        <w:numPr>
          <w:ilvl w:val="0"/>
          <w:numId w:val="2"/>
        </w:numPr>
        <w:spacing w:lineRule="auto" w:line="259" w:beforeAutospacing="0" w:afterAutospacing="0"/>
        <w:contextualSpacing w:val="1"/>
        <w:jc w:val="left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Wymogi art. 1 ust. 2 w niniejszej uchwale uwzględniono w następujący sposób: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wymagania ładu przestrzennego, w tym urbanistyki i architektury</w:t>
      </w:r>
      <w:r>
        <w:rPr>
          <w:rFonts w:ascii="Times New Roman" w:hAnsi="Times New Roman"/>
        </w:rPr>
        <w:t xml:space="preserve"> – w przedmiotowym planie miejscowym przeznacza się pod zabudowę tereny dotychczasowo przeznaczone na cele budowlane, przyległe do istniejącego zainwestowania w ramach jednostek osadniczych, o wystarczającym stopniu wyposażenia w niezbędne urządzenia infrastruktury technicznej i komunikacyjnej. Realizacja zabudowy w dopuszczonych przez plan parametrach i regulacjach, wynikających zarówno z części tekstowej jak i graficznej planu wraz z wyposażeniem terenów w sieci infrastruktury nie spowoduje kolizji urbanistyczno-architektonicznej; 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walory architektoniczne i krajobrazowe</w:t>
      </w:r>
      <w:r>
        <w:rPr>
          <w:rFonts w:ascii="Times New Roman" w:hAnsi="Times New Roman"/>
        </w:rPr>
        <w:t xml:space="preserve"> – ustalenia dotyczące maksymalnej dopuszczalnej wysokości budynków w pełni chronią walory krajobrazowe, jakimi odznacza się obszar opracowania. Parametry dotyczące formy architektonicznej harmonijnie wpisują się w krajobraz kulturowy regionu; 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wymagania ochrony środowiska, w tym gospodarowania wodami i ochrony gruntów rolnych i leśnych</w:t>
      </w:r>
      <w:r>
        <w:rPr>
          <w:rFonts w:ascii="Times New Roman" w:hAnsi="Times New Roman"/>
        </w:rPr>
        <w:t xml:space="preserve"> – niniejszy plan w pełni odpowiada na potrzeby ochrony środowiska oraz ustalonym form ochrony przyrody. Przyjęte rozwiązania w zakresie przeznaczenia terenów nie powodują potrzeby uzyskania zgody na zmianę przeznaczenia gruntów rolnych na cele nierolnicze i leśnych na cele nieleśne;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wymagania ochrony dziedzictwa kulturowego i zabytków oraz dóbr kultury współczesnej</w:t>
      </w:r>
      <w:r>
        <w:rPr>
          <w:rFonts w:ascii="Times New Roman" w:hAnsi="Times New Roman"/>
        </w:rPr>
        <w:t xml:space="preserve"> – Na obszarze opracowania nie występują zabytki, stanowiska archeologiczne oraz dobra kultury współczesnej; 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wymagania ochrony zdrowia oraz bezpieczeństwa ludzi i mienia, a także potrzeby osób niepełnosprawnych</w:t>
      </w:r>
      <w:r>
        <w:rPr>
          <w:rFonts w:ascii="Times New Roman" w:hAnsi="Times New Roman"/>
        </w:rPr>
        <w:t xml:space="preserve"> – plan miejscowy zachowuje wymagania ochrony zdrowia oraz bezpieczeństwa ludzi i mienia; w stosunku do potrzeb osób niepełnosprawnych plan ustala warunki wyznaczania miejsc postojowych dla pojazdów zaopatrzonych w kartę parkingową;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walory ekonomiczne przestrzeni</w:t>
      </w:r>
      <w:r>
        <w:rPr>
          <w:rFonts w:ascii="Times New Roman" w:hAnsi="Times New Roman"/>
        </w:rPr>
        <w:t xml:space="preserve"> – uchwalenie planu wpłynie pozytywnie na wartość nieruchomości położonych w jego zasięgu;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prawo własności</w:t>
      </w:r>
      <w:r>
        <w:rPr>
          <w:rFonts w:ascii="Times New Roman" w:hAnsi="Times New Roman"/>
        </w:rPr>
        <w:t xml:space="preserve"> – ustalone w planie linie rozgraniczające tereny o różnym przeznaczeniu lub różnych zasadach zagospodarowania zostały ustalone z poszanowaniem i uwzględnieniem istniejących podziałów geodezyjnych i własności;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potrzeby obronności i bezpieczeństwa państwa</w:t>
      </w:r>
      <w:r>
        <w:rPr>
          <w:rFonts w:ascii="Times New Roman" w:hAnsi="Times New Roman"/>
        </w:rPr>
        <w:t xml:space="preserve"> – realizacja zapisów planu miejscowego nie wpłynie negatywnie na zagadnienia związane z potrzebami obronności i bezpieczeństwa państwa; 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potrzeby interesu publicznego</w:t>
      </w:r>
      <w:r>
        <w:rPr>
          <w:rFonts w:ascii="Times New Roman" w:hAnsi="Times New Roman"/>
        </w:rPr>
        <w:t xml:space="preserve"> – dzięki realizacji ustaleń niniejszej uchwały struktura funkcjonalno-przestrzenna jednostki osadniczej zostanie dostosowana do wymogów interesu publicznego, związanych z umożliwieniem realizacji jednostki straży pożarnej;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potrzeby w zakresie rozwoju infrastruktury technicznej, w szczególności sieci szerokopasmowych</w:t>
      </w:r>
      <w:r>
        <w:rPr>
          <w:rFonts w:ascii="Times New Roman" w:hAnsi="Times New Roman"/>
        </w:rPr>
        <w:t xml:space="preserve"> – plan miejscowy wskazuje na konieczność realizacji i/lub rozwoju niezbędnych sieci infrastruktury technicznej oraz umożliwia realizację urządzeń infrastruktury spełniającej potrzeby lokalnej społeczności;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zapewnienie udziału społeczeństwa w pracach nad miejscowym planem zagospodarowania przestrzennego, w tym przy użyciu środków komunikacji elektronicznej</w:t>
      </w:r>
      <w:r>
        <w:rPr>
          <w:rFonts w:ascii="Times New Roman" w:hAnsi="Times New Roman"/>
        </w:rPr>
        <w:t xml:space="preserve"> – w trakcie realizacji procedury planistycznej dotyczącej niniejszego planu miejscowego zapewniony był udział społeczeństwa w pracach nad projektem, m.in. poprzez możliwość składania wniosków oraz uwag do projektu planu;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zachowanie jawności i przejrzystości procedur planistycznych</w:t>
      </w:r>
      <w:r>
        <w:rPr>
          <w:rFonts w:ascii="Times New Roman" w:hAnsi="Times New Roman"/>
        </w:rPr>
        <w:t xml:space="preserve"> – procedura charakteryzowała się pełną jawnością i przejrzystością, a także dokładnością </w:t>
        <w:br w:type="textWrapping"/>
        <w:t xml:space="preserve">w sporządzaniu dokumentacji planistycznej; </w:t>
      </w:r>
    </w:p>
    <w:p>
      <w:pPr>
        <w:numPr>
          <w:ilvl w:val="1"/>
          <w:numId w:val="2"/>
        </w:numPr>
        <w:spacing w:lineRule="auto" w:line="259" w:beforeAutospacing="0" w:afterAutospacing="0"/>
        <w:contextualSpacing w:val="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potrzebę zapewnienia odpowiedniej ilości i jakości wody, do celów zaopatrzenia ludności</w:t>
      </w:r>
      <w:r>
        <w:rPr>
          <w:rFonts w:ascii="Times New Roman" w:hAnsi="Times New Roman"/>
        </w:rPr>
        <w:t xml:space="preserve"> – plan miejscowy nie wprowadza zmian w tym zakresie.</w:t>
      </w:r>
    </w:p>
    <w:p>
      <w:pPr>
        <w:spacing w:lineRule="auto" w:line="259" w:after="0" w:beforeAutospacing="0" w:afterAutospacing="0"/>
        <w:ind w:firstLine="0"/>
        <w:rPr>
          <w:rFonts w:ascii="Times New Roman" w:hAnsi="Times New Roman"/>
          <w:b w:val="1"/>
        </w:rPr>
      </w:pPr>
    </w:p>
    <w:p>
      <w:pPr>
        <w:numPr>
          <w:ilvl w:val="0"/>
          <w:numId w:val="2"/>
        </w:numPr>
        <w:spacing w:lineRule="auto" w:line="259" w:beforeAutospacing="0" w:afterAutospacing="0"/>
        <w:contextualSpacing w:val="1"/>
        <w:jc w:val="left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Wymogi art. 1 ust. 3 </w:t>
      </w:r>
    </w:p>
    <w:p>
      <w:pPr>
        <w:spacing w:lineRule="auto" w:line="259" w:after="0" w:beforeAutospacing="0" w:afterAutospacing="0"/>
        <w:ind w:firstLine="0" w:left="1134"/>
        <w:contextualSpacing w:val="1"/>
        <w:rPr>
          <w:rFonts w:ascii="Times New Roman" w:hAnsi="Times New Roman"/>
          <w:i w:val="1"/>
        </w:rPr>
      </w:pPr>
      <w:r>
        <w:rPr>
          <w:rFonts w:ascii="Times New Roman" w:hAnsi="Times New Roman"/>
          <w:b w:val="1"/>
          <w:i w:val="1"/>
        </w:rPr>
        <w:t>Ustalając przeznaczenie terenu lub określając potencjalny sposób zagospodarowania i korzystania z terenu, organ waży interes publiczny i interesy prywatne, w tym zgłaszane w postaci wniosków i uwag, zmierzające do ochrony istniejącego stanu zagospodarowania terenu, jak i zmian w zakresie jego zagospodarowania, a także analizy ekonomiczne, środowiskowe i społeczne</w:t>
      </w:r>
      <w:r>
        <w:rPr>
          <w:rFonts w:ascii="Times New Roman" w:hAnsi="Times New Roman"/>
          <w:i w:val="1"/>
        </w:rPr>
        <w:t>.</w:t>
      </w:r>
    </w:p>
    <w:p>
      <w:pPr>
        <w:spacing w:lineRule="auto" w:line="259" w:after="0" w:beforeAutospacing="0" w:afterAutospacing="0"/>
        <w:ind w:firstLine="709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w niniejszej uchwale uwzględniono w następujący sposób:</w:t>
      </w:r>
    </w:p>
    <w:p>
      <w:pPr>
        <w:spacing w:lineRule="auto" w:line="259" w:after="0" w:beforeAutospacing="0" w:afterAutospacing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Miejscowy plan zagospodarowania przestrzennego został przygotowany z poszanowaniem prawa własności oraz uwarunkowań ekonomicznych, środowiskowych i społecznych. Na jego potrzeby opracowano prognozę skutków finansowych uchwalenia planu, która określa i ocenia wpływ jego przyjęcia na dochody i wydatki gminy. Została również opracowana prognoza oddziaływania na środowisko, której zakres regulują przepisy odrębne z zakresu ochrony środowiska.</w:t>
      </w:r>
    </w:p>
    <w:p>
      <w:pPr>
        <w:spacing w:lineRule="auto" w:line="259" w:after="0" w:beforeAutospacing="0" w:afterAutospacing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Zarówno projekt planu, jak i prognoza oddziaływana na środowisko, zostały poddane weryfikacji w trakcie ich wyłożenia do publicznego wglądu. </w:t>
      </w:r>
    </w:p>
    <w:p>
      <w:pPr>
        <w:spacing w:lineRule="auto" w:line="259" w:after="0" w:beforeAutospacing="0" w:afterAutospacing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Wnioski oraz uwagi do przedmiotowego planu zostały rozpatrzone z poszanowaniem zarówno publicznego interesu lokalnej społeczności, jak i interesów prywatnych. </w:t>
      </w:r>
    </w:p>
    <w:p>
      <w:pPr>
        <w:spacing w:lineRule="auto" w:line="259" w:after="0" w:beforeAutospacing="0" w:afterAutospacing="0"/>
        <w:ind w:firstLine="709"/>
        <w:rPr>
          <w:rFonts w:ascii="Times New Roman" w:hAnsi="Times New Roman"/>
          <w:b w:val="1"/>
          <w:color w:val="FF0000"/>
        </w:rPr>
      </w:pPr>
    </w:p>
    <w:p>
      <w:pPr>
        <w:numPr>
          <w:ilvl w:val="0"/>
          <w:numId w:val="2"/>
        </w:numPr>
        <w:spacing w:lineRule="auto" w:line="259" w:beforeAutospacing="0" w:afterAutospacing="0"/>
        <w:contextualSpacing w:val="1"/>
        <w:jc w:val="left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Wymogi art. 1 ust. 4 </w:t>
      </w:r>
    </w:p>
    <w:p>
      <w:pPr>
        <w:spacing w:lineRule="auto" w:line="259" w:after="0" w:beforeAutospacing="0" w:afterAutospacing="0"/>
        <w:ind w:firstLine="0" w:left="720"/>
        <w:contextualSpacing w:val="1"/>
        <w:rPr>
          <w:rFonts w:ascii="Times New Roman" w:hAnsi="Times New Roman"/>
          <w:b w:val="1"/>
          <w:i w:val="1"/>
        </w:rPr>
      </w:pPr>
      <w:r>
        <w:rPr>
          <w:rFonts w:ascii="Times New Roman" w:hAnsi="Times New Roman"/>
          <w:b w:val="1"/>
          <w:i w:val="1"/>
        </w:rPr>
        <w:t>W przypadku sytuowania nowej zabudowy, uwzględnienie wymagań ładu przestrzennego, efektywnego gospodarowania przestrzenią oraz walorów ekonomicznych przestrzeni następuje poprzez:</w:t>
      </w:r>
    </w:p>
    <w:p>
      <w:pPr>
        <w:spacing w:lineRule="auto" w:line="259" w:after="0" w:beforeAutospacing="0" w:afterAutospacing="0"/>
        <w:ind w:hanging="426" w:left="1560"/>
        <w:contextualSpacing w:val="1"/>
        <w:rPr>
          <w:rFonts w:ascii="Times New Roman" w:hAnsi="Times New Roman"/>
          <w:b w:val="1"/>
          <w:i w:val="1"/>
        </w:rPr>
      </w:pPr>
      <w:r>
        <w:rPr>
          <w:rFonts w:ascii="Times New Roman" w:hAnsi="Times New Roman"/>
          <w:b w:val="1"/>
          <w:i w:val="1"/>
        </w:rPr>
        <w:t>1) kształtowanie struktur przestrzennych przy uwzględnieniu dążenia do minimalizowania transportochłonności układu przestrzennego;</w:t>
      </w:r>
    </w:p>
    <w:p>
      <w:pPr>
        <w:spacing w:lineRule="auto" w:line="259" w:after="0" w:beforeAutospacing="0" w:afterAutospacing="0"/>
        <w:ind w:hanging="426" w:left="1560"/>
        <w:contextualSpacing w:val="1"/>
        <w:rPr>
          <w:rFonts w:ascii="Times New Roman" w:hAnsi="Times New Roman"/>
          <w:b w:val="1"/>
          <w:i w:val="1"/>
        </w:rPr>
      </w:pPr>
      <w:r>
        <w:rPr>
          <w:rFonts w:ascii="Times New Roman" w:hAnsi="Times New Roman"/>
          <w:b w:val="1"/>
          <w:i w:val="1"/>
        </w:rPr>
        <w:t>2) lokalizowanie nowej zabudowy mieszkaniowej w sposób umożliwiający mieszkańcom maksymalne wykorzystanie publicznego transportu zbiorowego jako podstawowego środka transportu;</w:t>
      </w:r>
    </w:p>
    <w:p>
      <w:pPr>
        <w:spacing w:lineRule="auto" w:line="259" w:after="0" w:beforeAutospacing="0" w:afterAutospacing="0"/>
        <w:ind w:hanging="426" w:left="1560"/>
        <w:contextualSpacing w:val="1"/>
        <w:rPr>
          <w:rFonts w:ascii="Times New Roman" w:hAnsi="Times New Roman"/>
          <w:b w:val="1"/>
          <w:i w:val="1"/>
        </w:rPr>
      </w:pPr>
      <w:r>
        <w:rPr>
          <w:rFonts w:ascii="Times New Roman" w:hAnsi="Times New Roman"/>
          <w:b w:val="1"/>
          <w:i w:val="1"/>
        </w:rPr>
        <w:t>3) zapewnianie rozwiązań przestrzennych, ułatwiających przemieszczanie się pieszych i rowerzystów;</w:t>
      </w:r>
    </w:p>
    <w:p>
      <w:pPr>
        <w:spacing w:lineRule="auto" w:line="259" w:after="0" w:beforeAutospacing="0" w:afterAutospacing="0"/>
        <w:ind w:hanging="426" w:left="1560"/>
        <w:contextualSpacing w:val="1"/>
        <w:rPr>
          <w:rFonts w:ascii="Times New Roman" w:hAnsi="Times New Roman"/>
          <w:b w:val="1"/>
          <w:i w:val="1"/>
        </w:rPr>
      </w:pPr>
      <w:r>
        <w:rPr>
          <w:rFonts w:ascii="Times New Roman" w:hAnsi="Times New Roman"/>
          <w:b w:val="1"/>
          <w:i w:val="1"/>
        </w:rPr>
        <w:t>4) dążenie do planowania i lokalizowania nowej zabudowy:</w:t>
      </w:r>
    </w:p>
    <w:p>
      <w:pPr>
        <w:spacing w:lineRule="auto" w:line="259" w:after="0" w:beforeAutospacing="0" w:afterAutospacing="0"/>
        <w:ind w:firstLine="0" w:left="1560"/>
        <w:contextualSpacing w:val="1"/>
        <w:rPr>
          <w:rFonts w:ascii="Times New Roman" w:hAnsi="Times New Roman"/>
          <w:b w:val="1"/>
          <w:i w:val="1"/>
        </w:rPr>
      </w:pPr>
      <w:r>
        <w:rPr>
          <w:rFonts w:ascii="Times New Roman" w:hAnsi="Times New Roman"/>
          <w:b w:val="1"/>
          <w:i w:val="1"/>
        </w:rPr>
        <w:t>a) na obszarach o w pełni wykształconej zwartej strukturze funkcjonalno-przestrzennej, w granicach jednostki osadniczej w rozumieniu art. 2 pkt 1 ustawy z dnia 29 sierpnia 2003 r. o urzędowych nazwach miejscowości i obiektów fizjograficznych (Dz. U. Nr 166, poz. 1612 oraz z 2005 r. Nr 17, poz. 141), w szczególności poprzez uzupełnianie istniejącej zabudowy,</w:t>
      </w:r>
    </w:p>
    <w:p>
      <w:pPr>
        <w:spacing w:lineRule="auto" w:line="259" w:after="0" w:beforeAutospacing="0" w:afterAutospacing="0"/>
        <w:ind w:firstLine="0" w:left="1560"/>
        <w:contextualSpacing w:val="1"/>
        <w:rPr>
          <w:rFonts w:ascii="Times New Roman" w:hAnsi="Times New Roman"/>
          <w:b w:val="1"/>
          <w:i w:val="1"/>
        </w:rPr>
      </w:pPr>
      <w:r>
        <w:rPr>
          <w:rFonts w:ascii="Times New Roman" w:hAnsi="Times New Roman"/>
          <w:b w:val="1"/>
          <w:i w:val="1"/>
        </w:rPr>
        <w:t>b) na terenach położonych na obszarach innych niż wymienione w lit. a, wyłącznie w sytuacji braku dostatecznej ilości terenów przeznaczonych pod dany rodzaj zabudowy położonych na obszarach, o których mowa w lit. a; przy czym w pierwszej kolejności na obszarach w najwyższym stopniu przygotowanych do zabudowy, przez co rozumie się obszary charakteryzujące się najlepszym dostępem do sieci komunikacyjnej oraz najlepszym stopniem wyposażenia w sieci wodociągowe, kanalizacyjne, elektroenergetyczne, gazowe, ciepłownicze oraz sieci i urządzenia telekomunikacyjne, adekwatnych dla nowej, planowanej zabudowy.</w:t>
      </w:r>
    </w:p>
    <w:p>
      <w:pPr>
        <w:spacing w:lineRule="auto" w:line="259" w:after="0" w:beforeAutospacing="0" w:afterAutospacing="0"/>
        <w:ind w:firstLine="0" w:left="720"/>
        <w:contextualSpacing w:val="1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w niniejszej uchwale uwzględniono w następujący sposób:</w:t>
      </w:r>
    </w:p>
    <w:p>
      <w:pPr>
        <w:spacing w:lineRule="auto" w:line="259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 przedmiotowym planie miejscowym przeznacza się pod zabudowę  tereny dotychczas przeznaczone pod zabudowę, przyległe do istniejącego zainwestowania w ramach jednostek osadniczych, o wystarczającym stopniu wyposażenia w niezbędne urządzenia infrastruktury technicznej i komunikacyjnej. Przeznaczenie to nie wpłynie na transportochłonność lokalnego układu przestrzennego. Plan dopuszcza tworzenie dojść i dojazdów oraz miejsc postojowych w minimalnej liczbie określonej w uchwale.</w:t>
      </w:r>
    </w:p>
    <w:p>
      <w:pPr>
        <w:spacing w:lineRule="auto" w:line="259" w:after="0" w:beforeAutospacing="0" w:afterAutospacing="0"/>
        <w:rPr>
          <w:rFonts w:ascii="Times New Roman" w:hAnsi="Times New Roman"/>
        </w:rPr>
      </w:pPr>
    </w:p>
    <w:p>
      <w:pPr>
        <w:numPr>
          <w:ilvl w:val="0"/>
          <w:numId w:val="1"/>
        </w:numPr>
        <w:spacing w:lineRule="auto" w:line="259" w:after="160" w:beforeAutospacing="0" w:afterAutospacing="0"/>
        <w:contextualSpacing w:val="1"/>
        <w:jc w:val="left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przedmiotowy mpzp a jego zgodność z wynikami analizy, o której mowa w art. 32 ust. 1 ustawy o planowaniu i zagospodarowaniu przestrzennym</w:t>
      </w:r>
    </w:p>
    <w:p>
      <w:pPr>
        <w:spacing w:lineRule="auto" w:line="259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Ocena aktualności studium uwarunkowań i kierunków zagospodarowania przestrzennego gminy Górno oraz miejscowych planów zagospodarowania przestrzennego gminy Górno przyjęta uchwałą nr XX/196/2016 Rady Gminy Górno z dnia 29 czerwca 2016 r. uwzględnia podjęcie procedury w sprawie sporządzenia planu miejscowego dla Bęczkowa, niemniej dla niniejszego obszaru obowiązuje plan miejscowy z 2018 roku. Zatem ocena aktualności studium dla obszaru objętego zmianą planu nie jest w tym momencie aktualna.</w:t>
      </w:r>
    </w:p>
    <w:p>
      <w:pPr>
        <w:spacing w:lineRule="auto" w:line="259" w:after="0" w:beforeAutospacing="0" w:afterAutospacing="0"/>
        <w:rPr>
          <w:rFonts w:ascii="Times New Roman" w:hAnsi="Times New Roman"/>
        </w:rPr>
      </w:pPr>
    </w:p>
    <w:p>
      <w:pPr>
        <w:numPr>
          <w:ilvl w:val="0"/>
          <w:numId w:val="1"/>
        </w:numPr>
        <w:spacing w:lineRule="auto" w:line="259" w:beforeAutospacing="0" w:afterAutospacing="0"/>
        <w:contextualSpacing w:val="1"/>
        <w:jc w:val="left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przedmiotowy mpzp i jego wpływ na finanse publiczne, w tym budżet gminy</w:t>
      </w:r>
    </w:p>
    <w:p>
      <w:pPr>
        <w:spacing w:lineRule="auto" w:line="259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Zgodnie z prognozą skutków finansowych wykonaną do przedmiotowego planu, jego realizacja nie wpłynie na dochody i wydatki gminy.</w:t>
      </w:r>
    </w:p>
    <w:p>
      <w:pPr>
        <w:rPr>
          <w:rFonts w:ascii="Times New Roman" w:hAnsi="Times New Roman"/>
          <w:color w:val="FF0000"/>
        </w:rPr>
      </w:pPr>
    </w:p>
    <w:p>
      <w:pPr>
        <w:spacing w:lineRule="auto" w:line="360" w:beforeAutospacing="0" w:afterAutospacing="0"/>
        <w:jc w:val="left"/>
      </w:pP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61D317C"/>
    <w:multiLevelType w:val="hybridMultilevel"/>
    <w:lvl w:ilvl="0" w:tplc="056C51B8">
      <w:start w:val="1"/>
      <w:numFmt w:val="upperLetter"/>
      <w:suff w:val="tab"/>
      <w:lvlText w:val="%1."/>
      <w:lvlJc w:val="left"/>
      <w:pPr>
        <w:spacing w:lineRule="auto" w:line="240" w:after="0" w:beforeAutospacing="0" w:afterAutospacing="0"/>
        <w:ind w:hanging="360" w:left="1068"/>
      </w:pPr>
      <w:rPr/>
    </w:lvl>
    <w:lvl w:ilvl="1" w:tplc="04150019">
      <w:start w:val="1"/>
      <w:numFmt w:val="lowerLetter"/>
      <w:suff w:val="tab"/>
      <w:lvlText w:val="%2."/>
      <w:lvlJc w:val="left"/>
      <w:pPr>
        <w:spacing w:lineRule="auto" w:line="240" w:after="0" w:beforeAutospacing="0" w:afterAutospacing="0"/>
        <w:ind w:hanging="360" w:left="1788"/>
      </w:pPr>
      <w:rPr/>
    </w:lvl>
    <w:lvl w:ilvl="2" w:tplc="0415001B">
      <w:start w:val="1"/>
      <w:numFmt w:val="lowerRoman"/>
      <w:suff w:val="tab"/>
      <w:lvlText w:val="%3."/>
      <w:lvlJc w:val="right"/>
      <w:pPr>
        <w:spacing w:lineRule="auto" w:line="240" w:after="0" w:beforeAutospacing="0" w:afterAutospacing="0"/>
        <w:ind w:hanging="180" w:left="2508"/>
      </w:pPr>
      <w:rPr/>
    </w:lvl>
    <w:lvl w:ilvl="3" w:tplc="0415000F">
      <w:start w:val="1"/>
      <w:numFmt w:val="decimal"/>
      <w:suff w:val="tab"/>
      <w:lvlText w:val="%4."/>
      <w:lvlJc w:val="left"/>
      <w:pPr>
        <w:spacing w:lineRule="auto" w:line="240" w:after="0" w:beforeAutospacing="0" w:afterAutospacing="0"/>
        <w:ind w:hanging="360" w:left="3228"/>
      </w:pPr>
      <w:rPr/>
    </w:lvl>
    <w:lvl w:ilvl="4" w:tplc="04150019">
      <w:start w:val="1"/>
      <w:numFmt w:val="lowerLetter"/>
      <w:suff w:val="tab"/>
      <w:lvlText w:val="%5."/>
      <w:lvlJc w:val="left"/>
      <w:pPr>
        <w:spacing w:lineRule="auto" w:line="240" w:after="0" w:beforeAutospacing="0" w:afterAutospacing="0"/>
        <w:ind w:hanging="360" w:left="3948"/>
      </w:pPr>
      <w:rPr/>
    </w:lvl>
    <w:lvl w:ilvl="5" w:tplc="0415001B">
      <w:start w:val="1"/>
      <w:numFmt w:val="lowerRoman"/>
      <w:suff w:val="tab"/>
      <w:lvlText w:val="%6."/>
      <w:lvlJc w:val="right"/>
      <w:pPr>
        <w:spacing w:lineRule="auto" w:line="240" w:after="0" w:beforeAutospacing="0" w:afterAutospacing="0"/>
        <w:ind w:hanging="180" w:left="4668"/>
      </w:pPr>
      <w:rPr/>
    </w:lvl>
    <w:lvl w:ilvl="6" w:tplc="0415000F">
      <w:start w:val="1"/>
      <w:numFmt w:val="decimal"/>
      <w:suff w:val="tab"/>
      <w:lvlText w:val="%7."/>
      <w:lvlJc w:val="left"/>
      <w:pPr>
        <w:spacing w:lineRule="auto" w:line="240" w:after="0" w:beforeAutospacing="0" w:afterAutospacing="0"/>
        <w:ind w:hanging="360" w:left="5388"/>
      </w:pPr>
      <w:rPr/>
    </w:lvl>
    <w:lvl w:ilvl="7" w:tplc="04150019">
      <w:start w:val="1"/>
      <w:numFmt w:val="lowerLetter"/>
      <w:suff w:val="tab"/>
      <w:lvlText w:val="%8."/>
      <w:lvlJc w:val="left"/>
      <w:pPr>
        <w:spacing w:lineRule="auto" w:line="240" w:after="0" w:beforeAutospacing="0" w:afterAutospacing="0"/>
        <w:ind w:hanging="360" w:left="6108"/>
      </w:pPr>
      <w:rPr/>
    </w:lvl>
    <w:lvl w:ilvl="8" w:tplc="0415001B">
      <w:start w:val="1"/>
      <w:numFmt w:val="lowerRoman"/>
      <w:suff w:val="tab"/>
      <w:lvlText w:val="%9."/>
      <w:lvlJc w:val="right"/>
      <w:pPr>
        <w:spacing w:lineRule="auto" w:line="240" w:after="0" w:beforeAutospacing="0" w:afterAutospacing="0"/>
        <w:ind w:hanging="180" w:left="6828"/>
      </w:pPr>
      <w:rPr/>
    </w:lvl>
  </w:abstractNum>
  <w:abstractNum w:abstractNumId="1">
    <w:nsid w:val="4348593C"/>
    <w:multiLevelType w:val="hybridMultilevel"/>
    <w:lvl w:ilvl="0" w:tplc="0415000F">
      <w:start w:val="1"/>
      <w:numFmt w:val="decimal"/>
      <w:suff w:val="tab"/>
      <w:lvlText w:val="%1."/>
      <w:lvlJc w:val="left"/>
      <w:pPr>
        <w:spacing w:lineRule="auto" w:line="240" w:after="0" w:beforeAutospacing="0" w:afterAutospacing="0"/>
        <w:ind w:hanging="360" w:left="720"/>
      </w:pPr>
      <w:rPr/>
    </w:lvl>
    <w:lvl w:ilvl="1" w:tplc="04150019">
      <w:start w:val="1"/>
      <w:numFmt w:val="lowerLetter"/>
      <w:suff w:val="tab"/>
      <w:lvlText w:val="%2."/>
      <w:lvlJc w:val="left"/>
      <w:pPr>
        <w:spacing w:lineRule="auto" w:line="240" w:after="0" w:beforeAutospacing="0" w:afterAutospacing="0"/>
        <w:ind w:hanging="360" w:left="1440"/>
      </w:pPr>
      <w:rPr/>
    </w:lvl>
    <w:lvl w:ilvl="2" w:tplc="0415001B">
      <w:start w:val="1"/>
      <w:numFmt w:val="lowerRoman"/>
      <w:suff w:val="tab"/>
      <w:lvlText w:val="%3."/>
      <w:lvlJc w:val="right"/>
      <w:pPr>
        <w:spacing w:lineRule="auto" w:line="240" w:after="0" w:beforeAutospacing="0" w:afterAutospacing="0"/>
        <w:ind w:hanging="180" w:left="2160"/>
      </w:pPr>
      <w:rPr/>
    </w:lvl>
    <w:lvl w:ilvl="3" w:tplc="0415000F">
      <w:start w:val="1"/>
      <w:numFmt w:val="decimal"/>
      <w:suff w:val="tab"/>
      <w:lvlText w:val="%4."/>
      <w:lvlJc w:val="left"/>
      <w:pPr>
        <w:spacing w:lineRule="auto" w:line="240" w:after="0" w:beforeAutospacing="0" w:afterAutospacing="0"/>
        <w:ind w:hanging="360" w:left="2880"/>
      </w:pPr>
      <w:rPr/>
    </w:lvl>
    <w:lvl w:ilvl="4" w:tplc="04150019">
      <w:start w:val="1"/>
      <w:numFmt w:val="lowerLetter"/>
      <w:suff w:val="tab"/>
      <w:lvlText w:val="%5."/>
      <w:lvlJc w:val="left"/>
      <w:pPr>
        <w:spacing w:lineRule="auto" w:line="240" w:after="0" w:beforeAutospacing="0" w:afterAutospacing="0"/>
        <w:ind w:hanging="360" w:left="3600"/>
      </w:pPr>
      <w:rPr/>
    </w:lvl>
    <w:lvl w:ilvl="5" w:tplc="0415001B">
      <w:start w:val="1"/>
      <w:numFmt w:val="lowerRoman"/>
      <w:suff w:val="tab"/>
      <w:lvlText w:val="%6."/>
      <w:lvlJc w:val="right"/>
      <w:pPr>
        <w:spacing w:lineRule="auto" w:line="240" w:after="0" w:beforeAutospacing="0" w:afterAutospacing="0"/>
        <w:ind w:hanging="180" w:left="4320"/>
      </w:pPr>
      <w:rPr/>
    </w:lvl>
    <w:lvl w:ilvl="6" w:tplc="0415000F">
      <w:start w:val="1"/>
      <w:numFmt w:val="decimal"/>
      <w:suff w:val="tab"/>
      <w:lvlText w:val="%7."/>
      <w:lvlJc w:val="left"/>
      <w:pPr>
        <w:spacing w:lineRule="auto" w:line="240" w:after="0" w:beforeAutospacing="0" w:afterAutospacing="0"/>
        <w:ind w:hanging="360" w:left="5040"/>
      </w:pPr>
      <w:rPr/>
    </w:lvl>
    <w:lvl w:ilvl="7" w:tplc="04150019">
      <w:start w:val="1"/>
      <w:numFmt w:val="lowerLetter"/>
      <w:suff w:val="tab"/>
      <w:lvlText w:val="%8."/>
      <w:lvlJc w:val="left"/>
      <w:pPr>
        <w:spacing w:lineRule="auto" w:line="240" w:after="0" w:beforeAutospacing="0" w:afterAutospacing="0"/>
        <w:ind w:hanging="360" w:left="5760"/>
      </w:pPr>
      <w:rPr/>
    </w:lvl>
    <w:lvl w:ilvl="8" w:tplc="0415001B">
      <w:start w:val="1"/>
      <w:numFmt w:val="lowerRoman"/>
      <w:suff w:val="tab"/>
      <w:lvlText w:val="%9."/>
      <w:lvlJc w:val="right"/>
      <w:pPr>
        <w:spacing w:lineRule="auto" w:line="240" w:after="0" w:beforeAutospacing="0" w:afterAutospacing="0"/>
        <w:ind w:hanging="180" w:left="6480"/>
      </w:pPr>
      <w:rPr/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Centrala\Expanse</dc:creator>
  <dcterms:created xsi:type="dcterms:W3CDTF">2021-12-06T10:58:34Z</dcterms:created>
  <cp:lastModifiedBy>Magdalena Skowron</cp:lastModifiedBy>
  <dcterms:modified xsi:type="dcterms:W3CDTF">2021-12-06T13:21:49Z</dcterms:modified>
  <cp:revision>4</cp:revision>
</cp:coreProperties>
</file>