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39B49A87" Type="http://schemas.openxmlformats.org/officeDocument/2006/relationships/officeDocument" Target="/word/document.xml" /><Relationship Id="coreR39B49A87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keepNext w:val="1"/>
        <w:spacing w:lineRule="auto" w:line="360" w:before="120" w:after="120" w:beforeAutospacing="0" w:afterAutospacing="0"/>
        <w:ind w:firstLine="0" w:left="4535" w:right="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Załącznik Nr 3 do uchwały Nr XXXVI/358/2021</w:t>
        <w:br w:type="textWrapping"/>
        <w:t>Rady Gminy Górno</w:t>
        <w:br w:type="textWrapping"/>
        <w:t>z dnia 30 listopada 2021 r.</w:t>
      </w:r>
    </w:p>
    <w:p>
      <w:pPr>
        <w:keepNext w:val="1"/>
        <w:spacing w:lineRule="auto" w:line="240" w:before="0" w:after="480" w:beforeAutospacing="0" w:afterAutospacing="0"/>
        <w:ind w:firstLine="0" w:left="0" w:right="0"/>
        <w:jc w:val="center"/>
        <w:rPr>
          <w:rFonts w:ascii="Times New Roman" w:hAnsi="Times New Roman"/>
          <w:b w:val="0"/>
          <w:caps w:val="0"/>
          <w:strike w:val="0"/>
          <w:color w:val="auto"/>
          <w:sz w:val="22"/>
          <w:u w:val="none"/>
        </w:rPr>
      </w:pPr>
      <w:r>
        <w:rPr>
          <w:rFonts w:ascii="Times New Roman" w:hAnsi="Times New Roman"/>
          <w:b w:val="1"/>
          <w:caps w:val="0"/>
          <w:sz w:val="22"/>
        </w:rPr>
        <w:t>Rozstrzygnięcie Rady Gminy Górno o sposobie realizacji zapisanych w planie inwestycji z zakresu infrastruktury technicznej, które należą do zadań własnych gminy oraz zasadach</w:t>
        <w:br w:type="textWrapping"/>
        <w:t>ich finansowania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caps w:val="0"/>
          <w:strike w:val="0"/>
          <w:color w:val="auto"/>
          <w:sz w:val="22"/>
          <w:u w:val="none"/>
        </w:rPr>
      </w:pPr>
      <w:r>
        <w:rPr>
          <w:rFonts w:ascii="Times New Roman" w:hAnsi="Times New Roman"/>
          <w:b w:val="0"/>
          <w:caps w:val="0"/>
          <w:strike w:val="0"/>
          <w:color w:val="auto"/>
          <w:sz w:val="22"/>
          <w:u w:val="none"/>
        </w:rPr>
        <w:tab/>
        <w:t>Finansowanie zapisanych w planie inwestycji z zakresu infrastruktury technicznej należących do zadań własnych gminy, w tym m.in. rozwój i utrzymanie infrastruktury technicznej, zakłada się m.in. z następujących źródeł: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caps w:val="0"/>
          <w:strike w:val="0"/>
          <w:color w:val="auto"/>
          <w:sz w:val="22"/>
          <w:u w:val="none"/>
        </w:rPr>
      </w:pPr>
      <w:r>
        <w:rPr>
          <w:rFonts w:ascii="Times New Roman" w:hAnsi="Times New Roman"/>
          <w:b w:val="0"/>
          <w:caps w:val="0"/>
          <w:strike w:val="0"/>
          <w:color w:val="auto"/>
          <w:sz w:val="22"/>
          <w:u w:val="none"/>
        </w:rPr>
        <w:t>·ze środków własnych gminy,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caps w:val="0"/>
          <w:strike w:val="0"/>
          <w:color w:val="auto"/>
          <w:sz w:val="22"/>
          <w:u w:val="none"/>
        </w:rPr>
      </w:pPr>
      <w:r>
        <w:rPr>
          <w:rFonts w:ascii="Times New Roman" w:hAnsi="Times New Roman"/>
          <w:b w:val="0"/>
          <w:caps w:val="0"/>
          <w:strike w:val="0"/>
          <w:color w:val="auto"/>
          <w:sz w:val="22"/>
          <w:u w:val="none"/>
        </w:rPr>
        <w:t>·środków pochodzących z Unii Europejskiej,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caps w:val="0"/>
          <w:strike w:val="0"/>
          <w:color w:val="auto"/>
          <w:sz w:val="22"/>
          <w:u w:val="none"/>
        </w:rPr>
      </w:pPr>
      <w:r>
        <w:rPr>
          <w:rFonts w:ascii="Times New Roman" w:hAnsi="Times New Roman"/>
          <w:b w:val="0"/>
          <w:caps w:val="0"/>
          <w:strike w:val="0"/>
          <w:color w:val="auto"/>
          <w:sz w:val="22"/>
          <w:u w:val="none"/>
        </w:rPr>
        <w:t>·innych źródeł.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caps w:val="0"/>
          <w:strike w:val="0"/>
          <w:color w:val="auto"/>
          <w:sz w:val="22"/>
          <w:u w:val="none"/>
        </w:rPr>
      </w:pPr>
      <w:r>
        <w:rPr>
          <w:rFonts w:ascii="Times New Roman" w:hAnsi="Times New Roman"/>
          <w:b w:val="0"/>
          <w:caps w:val="0"/>
          <w:strike w:val="0"/>
          <w:color w:val="auto"/>
          <w:sz w:val="22"/>
          <w:u w:val="none"/>
        </w:rPr>
        <w:tab/>
        <w:t>Starania o pozyskanie środków prowadzone będą samodzielnie przez gminę, a także w ramach porozumień międzygminnych – zgodnie z obowiązującymi przepisami i procedurami, w nawiązaniu do bieżących potrzeb oraz programów.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caps w:val="0"/>
          <w:strike w:val="0"/>
          <w:color w:val="auto"/>
          <w:sz w:val="22"/>
          <w:u w:val="none"/>
        </w:rPr>
      </w:pPr>
      <w:r>
        <w:rPr>
          <w:rFonts w:ascii="Times New Roman" w:hAnsi="Times New Roman"/>
          <w:b w:val="0"/>
          <w:caps w:val="0"/>
          <w:strike w:val="0"/>
          <w:color w:val="auto"/>
          <w:sz w:val="22"/>
          <w:u w:val="none"/>
        </w:rPr>
        <w:tab/>
        <w:t>Realizacja inwestycji z zakresu infrastruktury prowadzona będzie przy uwzględnieniu zasady wspierania interesu publicznego, we współdziałaniu z innymi podmiotami publicznymi i prywatnymi działającymi i inwestującymi na terenie gminy Górno.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caps w:val="0"/>
          <w:strike w:val="0"/>
          <w:color w:val="auto"/>
          <w:sz w:val="22"/>
          <w:u w:val="none"/>
        </w:rPr>
      </w:pPr>
      <w:r>
        <w:rPr>
          <w:rFonts w:ascii="Times New Roman" w:hAnsi="Times New Roman"/>
          <w:b w:val="0"/>
          <w:caps w:val="0"/>
          <w:strike w:val="0"/>
          <w:color w:val="auto"/>
          <w:sz w:val="22"/>
          <w:u w:val="none"/>
        </w:rPr>
        <w:tab/>
        <w:t>Finansowanie inwestycji będzie zgodne z przepisami o finansach publicznych. Harmonogram realizacji zadań będzie uzależniony od wysokości środków finansowych, którymi dysponować będzie gmina.</w:t>
      </w:r>
    </w:p>
    <w:p>
      <w:pPr>
        <w:keepNext w:val="0"/>
        <w:keepLines w:val="0"/>
        <w:spacing w:lineRule="auto" w:line="240" w:before="120" w:after="120" w:beforeAutospacing="0" w:afterAutospacing="0"/>
        <w:ind w:firstLine="227" w:left="283" w:right="0"/>
        <w:jc w:val="both"/>
        <w:rPr>
          <w:rFonts w:ascii="Times New Roman" w:hAnsi="Times New Roman"/>
          <w:b w:val="0"/>
          <w:caps w:val="0"/>
          <w:strike w:val="0"/>
          <w:color w:val="auto"/>
          <w:sz w:val="22"/>
          <w:u w:val="none"/>
        </w:rPr>
      </w:pPr>
      <w:r>
        <w:rPr>
          <w:rFonts w:ascii="Times New Roman" w:hAnsi="Times New Roman"/>
          <w:b w:val="0"/>
          <w:caps w:val="0"/>
          <w:strike w:val="0"/>
          <w:color w:val="auto"/>
          <w:sz w:val="22"/>
          <w:u w:val="none"/>
        </w:rPr>
        <w:tab/>
        <w:t>Jako nadrzędną zasadę realizacji infrastruktury przyjmuje się uwzględnienie interesu publicznego oraz rachunku ekonomicznego liczonego wielkością poniesionych nakładów na 1 mieszkańca korzystającego z realizowanej sieci bądź obiektu.</w:t>
      </w:r>
    </w:p>
    <w:sectPr>
      <w:endnotePr>
        <w:numFmt w:val="decimal"/>
      </w:endnotePr>
      <w:type w:val="nextPage"/>
      <w:pgSz w:w="11906" w:h="16838" w:code="0"/>
      <w:pgMar w:left="850" w:right="850" w:top="850" w:bottom="1417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0"/>
        <w:u w:val="none"/>
        <w:shd w:val="clear" w:color="auto" w:fill="auto"/>
        <w:vertAlign w:val="baseline"/>
        <w:lang w:val="pl-PL" w:bidi="pl-PL" w:eastAsia="pl-PL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>
      <w:jc w:val="both"/>
    </w:pPr>
    <w:rPr>
      <w:rFonts w:ascii="Times New Roman" w:hAnsi="Times New Roman"/>
      <w:sz w:val="22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category>Akt prawny</cp:category>
  <dc:creator>Expanse</dc:creator>
  <dcterms:created xsi:type="dcterms:W3CDTF">2021-12-06T11:52:38Z</dcterms:created>
  <cp:lastModifiedBy>Magdalena Skowron</cp:lastModifiedBy>
  <dcterms:modified xsi:type="dcterms:W3CDTF">2021-12-06T13:21:49Z</dcterms:modified>
  <cp:revision>5</cp:revision>
  <dc:subject>w sprawie uchwalenia zmiany Nr 1 miejscowego planu zagospodarowania przestrzennego gminy Górno „Bęczków” (teren remizy OSP)</dc:subject>
  <dc:title>Uchwała Nr XXXVI/358/2021 z dnia 30 listopada 2021 r.</dc:title>
</cp:coreProperties>
</file>