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1548DDAC" Type="http://schemas.openxmlformats.org/officeDocument/2006/relationships/officeDocument" Target="/word/document.xml" /><Relationship Id="coreR1548DDAC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/>
    <w:p>
      <w:pPr>
        <w:keepNext w:val="0"/>
        <w:keepLines w:val="0"/>
        <w:ind w:firstLine="0" w:left="0" w:right="0"/>
        <w:jc w:val="center"/>
      </w:pPr>
      <w:r>
        <w:rPr>
          <w:rFonts w:ascii="Times New Roman" w:hAnsi="Times New Roman"/>
          <w:b w:val="1"/>
          <w:caps w:val="0"/>
          <w:sz w:val="22"/>
        </w:rPr>
        <w:t>Uzasadnienie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caps w:val="0"/>
          <w:sz w:val="22"/>
        </w:rPr>
      </w:pPr>
      <w:r>
        <w:rPr>
          <w:rFonts w:ascii="Times New Roman" w:hAnsi="Times New Roman"/>
          <w:b w:val="0"/>
          <w:caps w:val="0"/>
          <w:sz w:val="22"/>
        </w:rPr>
        <w:t>Zgodnie z przepisem art. 39a ust. 1 ustawy z dnia 14 grudnia 2016 r. Prawo oświatowe obowiązki, o których mowa w art. 32 ust. 6 i art. 39 ust. 4 ww. ustawy gmina spełnia poprzez zorganizowanie bezpłatnego transportu i opieki w czasie przewozu dzieci, młodzieży i uczniów</w:t>
        <w:br w:type="textWrapping"/>
        <w:t>we własnym zakresie albo poprzez zwrot rodzicom kosztów przewozu dzieci, młodzieży i uczniów oraz rodziców. Zwrot rodzicom kosztów przewozu następuje w wysokości określonej wzorem,</w:t>
        <w:br w:type="textWrapping"/>
        <w:t>w którym jednym z czynników jest średnia cena jednostki paliwa, w danej gminie, właściwego</w:t>
        <w:br w:type="textWrapping"/>
        <w:t>dla danego pojazdu. Zgodnie z przepisem art. 39a ust. 3 ww. ustawy średnią cenę jednostki paliwa w gminie określa na każdy rok szkolny rada gminy, w drodze uchwały, uwzględniając ceny jednostki paliwa w gminie. W celu ustalenia wyliczenia średniej ceny jednostki paliwa w gminie na rok szkolny 2021/2022, przyjęto średnie ceny paliw: autogazu, oleju napędowego i benzyny E 95, E 98</w:t>
        <w:br w:type="textWrapping"/>
        <w:t>z ostatnich trzech miesięcy dla Gminy Górno, uzyskane z trzech działających na terenie gminy stacji paliw tj.: Partnerskiej Stacji Paliw BP Górno Parcele 3A, Stacji Paliw Orlen, Górno 163 i Stacji Paliw Verezano 135A.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caps w:val="0"/>
          <w:sz w:val="22"/>
        </w:rPr>
      </w:pPr>
      <w:r>
        <w:rPr>
          <w:rFonts w:ascii="Times New Roman" w:hAnsi="Times New Roman"/>
          <w:b w:val="0"/>
          <w:caps w:val="0"/>
          <w:sz w:val="22"/>
        </w:rPr>
        <w:t>Mając na uwadze powyższe, konieczne jest podjęcie uchwały w sprawie określenia średniej ceny jednostek paliwa w Gminie Górno na rok szkolny 2021/2022.</w:t>
      </w:r>
    </w:p>
    <w:sectPr>
      <w:endnotePr>
        <w:numFmt w:val="decimal"/>
      </w:endnotePr>
      <w:type w:val="nextPage"/>
      <w:pgSz w:w="11906" w:h="16838" w:code="0"/>
      <w:pgMar w:left="1020" w:right="1020" w:top="1417" w:bottom="992" w:header="708" w:footer="708" w:gutter="0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b w:val="0"/>
        <w:i w:val="0"/>
        <w:caps w:val="0"/>
        <w:strike w:val="0"/>
        <w:noProof w:val="0"/>
        <w:vanish w:val="0"/>
        <w:color w:val="auto"/>
        <w:sz w:val="20"/>
        <w:u w:val="none"/>
        <w:shd w:val="clear" w:color="auto" w:fill="auto"/>
        <w:vertAlign w:val="baseline"/>
        <w:lang w:val="pl-PL" w:bidi="pl-PL" w:eastAsia="pl-PL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qFormat/>
    <w:pPr>
      <w:jc w:val="both"/>
    </w:pPr>
    <w:rPr>
      <w:rFonts w:ascii="Times New Roman" w:hAnsi="Times New Roman"/>
      <w:sz w:val="22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category>Akt prawny</cp:category>
  <dc:creator>Skowronek</dc:creator>
  <dcterms:created xsi:type="dcterms:W3CDTF">2021-07-13T12:57:09Z</dcterms:created>
  <cp:lastModifiedBy>Magdalena Skowron</cp:lastModifiedBy>
  <dcterms:modified xsi:type="dcterms:W3CDTF">2021-07-13T10:57:51Z</dcterms:modified>
  <cp:revision>4</cp:revision>
  <dc:subject>w sprawie określenia średniej ceny jednostki paliwa w Gminie Górno, na rok szkolny 2021/2022</dc:subject>
  <dc:title>Uchwała Nr XXXII/321/2021 z dnia 22 czerwca 2021 r.</dc:title>
</cp:coreProperties>
</file>