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IX/110/2015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Gminy Górno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13 sierpnia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zmiany uchwały Rady Gminy Górno Nr XXIX/226/2012 z dnia 28 grudnia 2012 roku w sprawie podziału gminy Górno na stałe obwody głosowania ustalenia ich numerów, granic oraz siedzib obwodowych komisji wyborczych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 13 a ustawy z dnia 5 stycznia 2011 roku Kodeks Wyborczy ( Dz.U. z 2011 roku Nr 21, poz. 112, Nr 26, poz.134, Nr 94, poz.550, Nr.102, poz.588, Nr 134, poz.777, Nr 147, poz.881, Nr 149, poz.889, Nr 171, poz.1016, Nr 217, poz.1281, z 2012 r. poz.849, 951,1529, z 2014 r. poz.179, 180, 1072) Rada Gminy uchwala,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w § 1 pkt.6 uchwały Rady Gminy Górno Nr XXIX/226/2012 z dnia 28 grudnia 2012 roku</w:t>
      </w:r>
      <w:r w:rsidRPr="00737F6A">
        <w:t> </w:t>
      </w:r>
      <w:r w:rsidRPr="00737F6A">
        <w:br/>
      </w:r>
      <w:r w:rsidRPr="00737F6A">
        <w:t>w miejsce dotychczasowego zapisu ,,Szkoła Podstawowa w Radlinie” wprowadza się zapis o treści: „Zespół Szkolno -Przedszkolny w Radlinie".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2. </w:t>
      </w:r>
      <w:r w:rsidRPr="00737F6A">
        <w:t>Wykonanie uchwały powierza się Wójtowi Gminy Górno.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3. </w:t>
      </w:r>
      <w:r w:rsidRPr="00737F6A">
        <w:t>Uchwałę przekazuje się po jednym egzemplarzu Wojewodzie Świętokrzyskiemu oraz Komisarzowi Wyborczemu w Kielcach.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4. </w:t>
      </w:r>
      <w:r w:rsidRPr="00737F6A">
        <w:t>Uchwała podlega opublikowaniu w Dzienniku Województwa Świętokrzyskiego i wchodzi w życie po upływie 14 dni od dni publikacji.</w:t>
      </w:r>
      <w:r w:rsidRPr="00737F6A">
        <w:t> </w:t>
      </w:r>
    </w:p>
    <w:p w:rsidR="00261A16" w:rsidRPr="00737F6A" w:rsidP="00737F6A">
      <w:pPr>
        <w:pStyle w:val="ARTartustawynprozporzdzeni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Rady Gminy Górno</w:t>
            </w:r>
            <w:r w:rsidRPr="00737F6A">
              <w:br/>
            </w:r>
            <w:r w:rsidRPr="00737F6A">
              <w:br/>
            </w:r>
            <w:r w:rsidRPr="00737F6A">
              <w:t>J. Bednarz</w:t>
            </w:r>
          </w:p>
        </w:tc>
      </w:tr>
    </w:tbl>
    <w:p w:rsidR="00261A16" w:rsidRPr="00737F6A" w:rsidP="00737F6A">
      <w:pPr>
        <w:pStyle w:val="ARTartustawynprozporzdzenia"/>
      </w:pPr>
    </w:p>
    <w:p w:rsidR="00261A16" w:rsidRPr="00737F6A" w:rsidP="00737F6A">
      <w:pPr>
        <w:pStyle w:val="ARTartustawynprozporzdzenia"/>
        <w:sectPr w:rsidSect="001A7F15">
          <w:headerReference w:type="default" r:id="rId6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</w:pPr>
      <w:r w:rsidRPr="00737F6A">
        <w:t>Uzasadnienie</w:t>
      </w:r>
    </w:p>
    <w:p w:rsidR="00261A16" w:rsidRPr="00737F6A" w:rsidP="00737F6A">
      <w:pPr>
        <w:pStyle w:val="NIEARTTEKSTtekstnieartykuowanynppodstprawnarozplubpreambua"/>
      </w:pPr>
      <w:r w:rsidRPr="00737F6A">
        <w:t>W związku z przekształceniem jednostki organizacyjnej gminy Szkoły Podstawowej</w:t>
      </w:r>
      <w:r w:rsidRPr="00737F6A">
        <w:t> </w:t>
      </w:r>
      <w:r w:rsidRPr="00737F6A">
        <w:br/>
      </w:r>
      <w:r w:rsidRPr="00737F6A">
        <w:t>w Radlinie w Zespół Szkolno – Przedszkolny w Radlinie w której znajduje się siedziba Obwodowej Komisji wyborczej podjecie uchwały stało się zasadne.</w:t>
      </w:r>
      <w:r w:rsidRPr="00737F6A">
        <w:t> </w:t>
      </w:r>
      <w:bookmarkStart w:id="0" w:name="_GoBack"/>
      <w:bookmarkEnd w:id="0"/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